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05:43 МСК · База обновлена: 18.07.2026, 22:27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69 лет обратился к онкологу для консультации.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осиплость голоса, периодически сухой кашель.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последних 3 лет отмечает периодический сухой кашель, около 3 недель назад появилась осиплость голоса. Обратился к оториноларингологу по месту жительства, в течение 2 недель проводилась противовоспалительная терапия без эффекта. При непрямой ларингоскопии заподозрен рак гортани. Направлен к онкологу для обследования и определения тактики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-  Сопутствующая патология: Артериальная гипертензия 2 ст.</w:t>
      </w:r>
    </w:p>
    <w:p>
      <w:pPr>
        <w:spacing w:after="58"/>
      </w:pPr>
      <w:r>
        <w:rPr>
          <w:b w:val="0"/>
          <w:i w:val="0"/>
        </w:rPr>
        <w:t>-  Перенесенные операции: нет.</w:t>
      </w:r>
    </w:p>
    <w:p>
      <w:pPr>
        <w:spacing w:after="58"/>
      </w:pPr>
      <w:r>
        <w:rPr>
          <w:b w:val="0"/>
          <w:i w:val="0"/>
        </w:rPr>
        <w:t>-  Перенесенные травмы: не отмечает.</w:t>
      </w:r>
    </w:p>
    <w:p>
      <w:pPr>
        <w:spacing w:after="58"/>
      </w:pPr>
      <w:r>
        <w:rPr>
          <w:b w:val="0"/>
          <w:i w:val="0"/>
        </w:rPr>
        <w:t>-  Наследственность не отягощена.</w:t>
      </w:r>
    </w:p>
    <w:p>
      <w:pPr>
        <w:spacing w:after="58"/>
      </w:pPr>
      <w:r>
        <w:rPr>
          <w:b w:val="0"/>
          <w:i w:val="0"/>
        </w:rPr>
        <w:t>-  Аллергии на лекарственные препараты, пищевые продукты, аэрозоли отрицает.</w:t>
      </w:r>
    </w:p>
    <w:p>
      <w:pPr>
        <w:spacing w:after="58"/>
      </w:pPr>
      <w:r>
        <w:rPr>
          <w:b w:val="0"/>
          <w:i w:val="0"/>
        </w:rPr>
        <w:t>-  Профессиональные вредности не отмечены.</w:t>
      </w:r>
    </w:p>
    <w:p>
      <w:pPr>
        <w:spacing w:after="58"/>
      </w:pPr>
      <w:r>
        <w:rPr>
          <w:b w:val="0"/>
          <w:i w:val="0"/>
        </w:rPr>
        <w:t>-  Курит с возраста 18лет по 1 пачке сигарет в день. Алкоголем не злоупотребляет. Наркотики не употребляет.</w:t>
      </w:r>
    </w:p>
    <w:p>
      <w:pPr>
        <w:spacing w:after="58"/>
      </w:pPr>
      <w:r>
        <w:rPr>
          <w:b w:val="0"/>
          <w:i w:val="0"/>
        </w:rPr>
        <w:t>-  Психических отклонений нет.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72 кг, рост 175 см. ИМТ 23,5. Температура тела 36,60С. Кожа и видимые слизистые чистые, нормальной окраски. Периферические лимфоузлы в подмышечных, паховых областях не увеличены, симметричные, подвижные, мягкоэластической консистенции, безболезненные. На шее справа в области средней трети пальпируется лимфоузел размером 1,0х1,5см, плотноэластической консистенции, с четкими контурами, смещаемый, безболезненный при пальпации, кожа над ним не изменена. Дыхание через нос свободное. Тип дыхания грудной, дыхательные движения ритмичные, средней глубины, обе половины грудной клетки одинаково участвуют в акте дыхания. ЧДД 18 в мин. Дыхание везикулярное, хрипов нет. Тоны сердца ясные, ритм правильный, ЧСС 68 уд в мин, АД 130/80 мм рт. ст. Щитовидная железа не увеличена. Живот правильной формы, при пальпации мягкий, безболезненный. Печень не увеличена. Мочеиспускание свободное, безболезненное. Стул регулярный, оформленный, без патологических примесей.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методом инструментального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фиброларингоскопия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(УЗИ) периферических лимфоузлов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остеосцинтиграфия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(УЗИ) органов брюшной полости и забрюшинного пространства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фиброларингоскопия с биопсией</w:t>
      </w:r>
    </w:p>
    <w:p>
      <w:pPr>
        <w:ind w:left="504"/>
      </w:pPr>
      <w:r>
        <w:rPr>
          <w:b w:val="0"/>
          <w:i/>
        </w:rPr>
        <w:t>Всем пациентам раком гортани рекомендуется проведение фиброскопического эндоскопического исследования верхних дыхательных и пищеварительных путей с взятием биопсии и мазков отпечатков с поверхности эрозий, изъязвлений, пунктатов уплотнений без признаков изъязвлений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подозрении на метастазы в лимфоузлы шеи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тонкоигольную аспирационную биопсию (ТАБ) шейного лимфоузла под контролем  ультразвукового исследования (УЗИ)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(УЗИ) шейных лимфоузлов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ультразвуковое исследование (УЗИ)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магнитно-резонансную томографию (МРТ) головного мозга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рентген-томографию гортани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позитронно-эмиссионную томографию — компьютерную томографию (ПЭТ-КТ) всего тела с фтордезоксиглюкозой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тонкоигольную аспирационную биопсию (ТАБ) шейного лимфоузла под контролем  ультразвукового исследования (УЗИ); 2 — ультразвуковое исследование (УЗИ) шейных лимфоузлов</w:t>
      </w:r>
    </w:p>
    <w:p>
      <w:pPr>
        <w:ind w:left="504"/>
      </w:pPr>
      <w:r>
        <w:rPr>
          <w:b w:val="0"/>
          <w:i/>
        </w:rPr>
        <w:t>Рекомендуется выполнить тонкоигольную аспирационную биопсию (ТАБ) под контролем УЗИ при подозрении на метастазы ЛУ шеи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выполнить тонкоигольную аспирационную биопсию (ТАБ) под контролем УЗИ при подозрении на метастазы ЛУ шеи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данным обследования, у пациента поражение _____ отдела гортани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надскладочного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надгортанного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складочного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подскладочного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надскладочного</w:t>
      </w:r>
    </w:p>
    <w:p>
      <w:pPr>
        <w:ind w:left="504"/>
      </w:pPr>
      <w:r>
        <w:rPr>
          <w:b w:val="0"/>
          <w:i/>
        </w:rPr>
        <w:t>По данным исследований у пациента имеется поражение вестибулярных складок и боковых желудочков надскладочного (вестибулярного) отдела гортани без вовлечения голосовых складок и нарушения их подвижности.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данным обследования, у пациента рак надскладочного отдела гортани стадии по TNM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T2N1M0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T1N2M0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T2N2M0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T3N2M0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T2N1M0</w:t>
      </w:r>
    </w:p>
    <w:p>
      <w:pPr>
        <w:ind w:left="504"/>
      </w:pPr>
      <w:r>
        <w:rPr>
          <w:b w:val="0"/>
          <w:i/>
        </w:rPr>
        <w:t>Т2 - опухоль поражает слизистую оболочку нескольких анатомических частей надсвязочной или связочной областей, или область вне надсвязочной части (слизистую оболочку корня языка, язычно-надгортанное углубление, медиальную стенку грушевидного синуса) без фиксации гортани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N1- метастазы в одном лимфатическом узле на стороне поражения до 3 см в наибольшем измерении</w:t>
        <w:br/>
        <w:br/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Установленный диагноз соответствует +___+ стадии рака гортани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{nbsp}IVA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{nbsp}IVB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{nbsp}II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{nbsp}III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{nbsp}III</w:t>
      </w:r>
    </w:p>
    <w:p>
      <w:pPr>
        <w:ind w:left="504"/>
      </w:pPr>
      <w:r>
        <w:rPr>
          <w:b w:val="0"/>
          <w:i/>
        </w:rPr>
        <w:t>Стадия по TNM T2N1M0 соответствует III стадии рака гортани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пациента рак надскладочного отдела гортани III стадии, от хирургического лечения пациент категорически отказался. В данной клинической ситуации возможно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внутритканевой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индукционной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химиоэмболизации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лазерной абляции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индукционной химиотерапии</w:t>
      </w:r>
    </w:p>
    <w:p>
      <w:pPr>
        <w:ind w:left="504"/>
      </w:pPr>
      <w:r>
        <w:rPr>
          <w:b w:val="0"/>
          <w:i/>
        </w:rPr>
        <w:t>Рекомендована конкурентная ХЛТ или ЛТ (если пациент не подходит для конкурентной химиолучевой терапии) или хирургическое лечение в объеме надскладочной резекции гортани и одно/двусторонней шейной лимфодиссекцией (при N{plus}) или индукционная ХТ с последующей оценкой эффекта.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3 курсов индукционной химиотерапии по данным фиброларингоскопии отмечена положительная динамика в виде резорбции опухоли на 60%. Следующим этапом рекомендована (-но)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конкурентная химиолучевая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лазерная абляции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химиоэмболизация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внутритканевая лучевая 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конкурентная химиолучевая терапия</w:t>
      </w:r>
    </w:p>
    <w:p>
      <w:pPr>
        <w:ind w:left="504"/>
      </w:pPr>
      <w:r>
        <w:rPr>
          <w:b w:val="0"/>
          <w:i/>
        </w:rPr>
        <w:t>Рекомендована конкурентная ХЛТ или ЛТ (если пациент не подходит для конкурентной химиолучевой терапии)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проведении одновременной (конкурентной) химиолучевой терапии наиболее предпочтительно применение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темозоломид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паклитаксел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тамоксифен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цисплатин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цисплатин</w:t>
      </w:r>
    </w:p>
    <w:p>
      <w:pPr>
        <w:ind w:left="504"/>
      </w:pPr>
      <w:r>
        <w:rPr>
          <w:b w:val="0"/>
          <w:i/>
        </w:rPr>
        <w:t>Одновременная (конкурентная) химиолучевая терапия: цисплатин (предпочтительно) или карбоплатин или цетуксимаб+ЛТ.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СОД на первичный очаг и клинически определяемые регионарные метастазы должна составлять +__+ Гр при стандартном фракционировании дозы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70</w:t>
      </w:r>
    </w:p>
    <w:p>
      <w:pPr>
        <w:ind w:left="504"/>
      </w:pPr>
      <w:r>
        <w:rPr>
          <w:b w:val="0"/>
          <w:i/>
        </w:rPr>
        <w:t>Пациентам при раке гортани ЛТ в самостоятельном варианте на первичный очаг и клинически определяемые регионарные метастазы рекомендована в дозе 66–70 Гр (2,0– 2,2 Гр/фракция) ежедневно с понедельника по пятницу в течение 6–7 нед; на локорегионарную область, включая регионарные ЛУ – 44-63 Гр (1,8-2,0 Гр/фракция) с целью повышения показателей выживаемости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СОД на клинически неизмененные лимфоузлы должна составлять +__+ Гр при стандартном фракционировании дозы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44-63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44-63</w:t>
      </w:r>
    </w:p>
    <w:p>
      <w:pPr>
        <w:ind w:left="504"/>
      </w:pPr>
      <w:r>
        <w:rPr>
          <w:b w:val="0"/>
          <w:i/>
        </w:rPr>
        <w:t>Пациентам при раке гортани ЛТ в самостоятельном варианте на первичный очаг и клинически определяемые регионарные метастазы рекомендована в дозе 66–70 Гр (2,0– 2,2 Гр/фракция) ежедневно с понедельника по пятницу в течение 6–7 нед; на локорегионарную область, включая регионарные ЛУ – 44-63 Гр (1,8-2,0 Гр/фракция) с целью повышения показателей выживаемости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наличии остаточной опухоли и/или метастатических лимфоузлов после окончания конкурентного химиолучевого лечения рекомендовано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продолжение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поддерживающей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хирургическое лечение</w:t>
      </w:r>
    </w:p>
    <w:p>
      <w:pPr>
        <w:ind w:left="504"/>
      </w:pPr>
      <w:r>
        <w:rPr>
          <w:b w:val="0"/>
          <w:i/>
        </w:rPr>
        <w:t>При наличии остаточной опухоли и/или метастатических ЛУ после окончания конкурентной ХЛТ рекомендовано хирургическое вмешательство. В случае полной регрессии метастатических узлов после окончания ХЛТ показано динамическое наблюдение.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Максимально допустимая доза (d max) на спинной мозг при планировании программы лучевой терапии рака гортани должна быть меньше или равна +__+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50</w:t>
      </w:r>
    </w:p>
    <w:p>
      <w:pPr>
        <w:ind w:left="504"/>
      </w:pPr>
      <w:r>
        <w:rPr>
          <w:b w:val="0"/>
          <w:i/>
        </w:rPr>
        <w:t>«Стандарты лучевой терапии» под редакцией А.Д. Каприна, А.А. Костина, Е.В. Хмелевского. - М.: ГЭОТАР-Медиа, 2019, стр. 82.</w:t>
        <w:br/>
        <w:br/>
      </w:r>
      <w:hyperlink r:id="rId34">
        <w:r>
          <w:rPr>
            <w:color w:val="173C49"/>
            <w:u w:val="single"/>
          </w:rPr>
          <w:t>https://www.labirint.ru/books/688754/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475_3/" TargetMode="External"/><Relationship Id="rId21" Type="http://schemas.openxmlformats.org/officeDocument/2006/relationships/hyperlink" Target="https://library.mededtech.ru/rest/documents/KP475_3/#list_item_n3ijvn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475_3/#list_item_o8g2eq" TargetMode="External"/><Relationship Id="rId24" Type="http://schemas.openxmlformats.org/officeDocument/2006/relationships/hyperlink" Target="https://library.mededtech.ru/rest/documents/KP475_3/#paragraph_punge8" TargetMode="External"/><Relationship Id="rId25" Type="http://schemas.openxmlformats.org/officeDocument/2006/relationships/hyperlink" Target="https://library.mededtech.ru/rest/documents/KP475_3/#list_item_5afd1e" TargetMode="External"/><Relationship Id="rId26" Type="http://schemas.openxmlformats.org/officeDocument/2006/relationships/hyperlink" Target="https://library.mededtech.ru/rest/documents/KP475_3/#list_item_2r10ep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475_3/#tab1" TargetMode="External"/><Relationship Id="rId29" Type="http://schemas.openxmlformats.org/officeDocument/2006/relationships/hyperlink" Target="https://library.mededtech.ru/rest/documents/KP475_3/#list_item_ipas37" TargetMode="External"/><Relationship Id="rId30" Type="http://schemas.openxmlformats.org/officeDocument/2006/relationships/hyperlink" Target="https://library.mededtech.ru/rest/documents/KP475_3/#list_item_6tc5t2" TargetMode="External"/><Relationship Id="rId31" Type="http://schemas.openxmlformats.org/officeDocument/2006/relationships/hyperlink" Target="https://library.mededtech.ru/rest/documents/KP475_3/#t1" TargetMode="External"/><Relationship Id="rId32" Type="http://schemas.openxmlformats.org/officeDocument/2006/relationships/hyperlink" Target="https://library.mededtech.ru/rest/documents/KP475_3/#list_item_602r06" TargetMode="External"/><Relationship Id="rId33" Type="http://schemas.openxmlformats.org/officeDocument/2006/relationships/hyperlink" Target="https://library.mededtech.ru/rest/documents/KP475_3/#list_item_usvfv7" TargetMode="External"/><Relationship Id="rId34" Type="http://schemas.openxmlformats.org/officeDocument/2006/relationships/hyperlink" Target="https://www.labirint.ru/books/68875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